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5864" w14:textId="0523468E" w:rsidR="007B56CB" w:rsidRPr="007B56CB" w:rsidRDefault="007B56CB" w:rsidP="007B56CB">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lang w:val="en-GB"/>
        </w:rPr>
      </w:pPr>
      <w:bookmarkStart w:id="0" w:name="_Ref462675860"/>
      <w:bookmarkStart w:id="1" w:name="_Ref465963108"/>
      <w:r w:rsidRPr="007B56CB">
        <w:rPr>
          <w:rFonts w:ascii="Arial" w:eastAsiaTheme="minorEastAsia" w:hAnsi="Arial" w:cs="Arial"/>
          <w:b/>
          <w:bCs/>
          <w:sz w:val="28"/>
          <w:lang w:val="en-GB"/>
        </w:rPr>
        <w:t>3GPP TSG RAN WG1 #108-e</w:t>
      </w:r>
      <w:r w:rsidRPr="007B56CB">
        <w:rPr>
          <w:rFonts w:ascii="Arial" w:eastAsiaTheme="minorEastAsia" w:hAnsi="Arial" w:cs="Arial"/>
          <w:b/>
          <w:bCs/>
          <w:sz w:val="28"/>
          <w:lang w:val="en-GB"/>
        </w:rPr>
        <w:tab/>
      </w:r>
      <w:r w:rsidRPr="007B56CB">
        <w:rPr>
          <w:rFonts w:ascii="Arial" w:eastAsiaTheme="minorEastAsia" w:hAnsi="Arial" w:cs="Arial"/>
          <w:b/>
          <w:bCs/>
          <w:sz w:val="28"/>
          <w:lang w:val="en-GB"/>
        </w:rPr>
        <w:tab/>
      </w:r>
      <w:r w:rsidRPr="007B56CB">
        <w:rPr>
          <w:rFonts w:ascii="Arial" w:eastAsiaTheme="minorEastAsia" w:hAnsi="Arial" w:cs="Arial"/>
          <w:b/>
          <w:bCs/>
          <w:sz w:val="28"/>
          <w:lang w:val="en-GB"/>
        </w:rPr>
        <w:tab/>
        <w:t>R1-22</w:t>
      </w:r>
      <w:r w:rsidR="001F087F">
        <w:rPr>
          <w:rFonts w:ascii="Arial" w:eastAsiaTheme="minorEastAsia" w:hAnsi="Arial" w:cs="Arial"/>
          <w:b/>
          <w:bCs/>
          <w:sz w:val="28"/>
          <w:lang w:val="en-GB"/>
        </w:rPr>
        <w:t>02139</w:t>
      </w:r>
    </w:p>
    <w:p w14:paraId="0A55F522" w14:textId="77777777" w:rsidR="007B56CB" w:rsidRPr="007B56CB" w:rsidRDefault="007B56CB" w:rsidP="007B56CB">
      <w:pPr>
        <w:tabs>
          <w:tab w:val="center" w:pos="4536"/>
          <w:tab w:val="right" w:pos="9072"/>
        </w:tabs>
        <w:overflowPunct/>
        <w:autoSpaceDE/>
        <w:autoSpaceDN/>
        <w:adjustRightInd/>
        <w:spacing w:after="0"/>
        <w:textAlignment w:val="auto"/>
        <w:rPr>
          <w:rFonts w:ascii="Arial" w:eastAsia="MS Mincho" w:hAnsi="Arial" w:cs="Arial"/>
          <w:b/>
          <w:bCs/>
          <w:sz w:val="28"/>
          <w:lang w:val="en-GB" w:eastAsia="ja-JP"/>
        </w:rPr>
      </w:pPr>
      <w:r w:rsidRPr="007B56CB">
        <w:rPr>
          <w:rFonts w:ascii="Arial" w:eastAsia="MS Mincho" w:hAnsi="Arial" w:cs="Arial"/>
          <w:b/>
          <w:bCs/>
          <w:sz w:val="28"/>
          <w:lang w:val="en-GB" w:eastAsia="ja-JP"/>
        </w:rPr>
        <w:t>e-Meeting, February 21</w:t>
      </w:r>
      <w:r w:rsidRPr="007B56CB">
        <w:rPr>
          <w:rFonts w:ascii="Arial" w:eastAsia="MS Mincho" w:hAnsi="Arial" w:cs="Arial"/>
          <w:b/>
          <w:bCs/>
          <w:sz w:val="28"/>
          <w:vertAlign w:val="superscript"/>
          <w:lang w:val="en-GB" w:eastAsia="ja-JP"/>
        </w:rPr>
        <w:t>st</w:t>
      </w:r>
      <w:r w:rsidRPr="007B56CB">
        <w:rPr>
          <w:rFonts w:ascii="Arial" w:eastAsia="MS Mincho" w:hAnsi="Arial" w:cs="Arial"/>
          <w:b/>
          <w:bCs/>
          <w:sz w:val="28"/>
          <w:lang w:val="en-GB" w:eastAsia="ja-JP"/>
        </w:rPr>
        <w:t xml:space="preserve"> – March 3</w:t>
      </w:r>
      <w:r w:rsidRPr="007B56CB">
        <w:rPr>
          <w:rFonts w:ascii="Arial" w:eastAsia="MS Mincho" w:hAnsi="Arial" w:cs="Arial"/>
          <w:b/>
          <w:bCs/>
          <w:sz w:val="28"/>
          <w:vertAlign w:val="superscript"/>
          <w:lang w:val="en-GB" w:eastAsia="ja-JP"/>
        </w:rPr>
        <w:t>rd</w:t>
      </w:r>
      <w:r w:rsidRPr="007B56CB">
        <w:rPr>
          <w:rFonts w:ascii="Arial" w:eastAsia="MS Mincho" w:hAnsi="Arial" w:cs="Arial"/>
          <w:b/>
          <w:bCs/>
          <w:sz w:val="28"/>
          <w:lang w:val="en-GB"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B322EC"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50FE9">
        <w:rPr>
          <w:rFonts w:ascii="Arial" w:hAnsi="Arial"/>
          <w:sz w:val="22"/>
        </w:rPr>
        <w:t xml:space="preserve">Remaining issues </w:t>
      </w:r>
      <w:r w:rsidR="008C2687">
        <w:rPr>
          <w:rFonts w:ascii="Arial" w:hAnsi="Arial"/>
          <w:sz w:val="22"/>
        </w:rPr>
        <w:t>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3C59E61E" w:rsidR="00E316BC" w:rsidRPr="005C36C2" w:rsidRDefault="00FD6A3D" w:rsidP="008D47F9">
      <w:pPr>
        <w:pStyle w:val="Heading1"/>
        <w:jc w:val="both"/>
      </w:pPr>
      <w:r w:rsidRPr="00183CB7">
        <w:t>Introduction</w:t>
      </w:r>
      <w:bookmarkEnd w:id="0"/>
      <w:bookmarkEnd w:id="1"/>
    </w:p>
    <w:p w14:paraId="1FA2C5D2" w14:textId="57EE1DA6" w:rsidR="00E316BC" w:rsidRDefault="00E316BC" w:rsidP="00E316BC">
      <w:pPr>
        <w:widowControl w:val="0"/>
        <w:jc w:val="both"/>
      </w:pPr>
      <w:r>
        <w:t>In this contribution, we discuss</w:t>
      </w:r>
      <w:r w:rsidR="00BA2F52">
        <w:t xml:space="preserve"> </w:t>
      </w:r>
      <w:r w:rsidR="002E60AA">
        <w:t xml:space="preserve">remaining issues </w:t>
      </w:r>
      <w:r w:rsidR="008F4B13">
        <w:t xml:space="preserve">concerning HARQ </w:t>
      </w:r>
      <w:r w:rsidR="00252E43">
        <w:t>enhancements</w:t>
      </w:r>
      <w:r w:rsidR="00D91D96">
        <w:t>.</w:t>
      </w:r>
    </w:p>
    <w:p w14:paraId="72B22BF7" w14:textId="384DA82E" w:rsidR="00681AF5" w:rsidRDefault="00681AF5" w:rsidP="007D3CC3">
      <w:pPr>
        <w:rPr>
          <w:b/>
          <w:bCs/>
          <w:lang w:val="en-GB"/>
        </w:rPr>
      </w:pPr>
      <w:bookmarkStart w:id="2" w:name="_Ref473802466"/>
      <w:bookmarkStart w:id="3" w:name="_Ref462669569"/>
    </w:p>
    <w:p w14:paraId="1639B385" w14:textId="4B8F5A70" w:rsidR="00681AF5" w:rsidRDefault="001E7EE9" w:rsidP="00A021A9">
      <w:pPr>
        <w:pStyle w:val="Heading1"/>
      </w:pPr>
      <w:r>
        <w:t>Discussions</w:t>
      </w:r>
    </w:p>
    <w:p w14:paraId="50F88617" w14:textId="30EFB2A6"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w:t>
      </w:r>
      <w:r w:rsidR="00BC7745">
        <w:rPr>
          <w:lang w:val="en-GB"/>
        </w:rPr>
        <w:t xml:space="preserve">has been agreed </w:t>
      </w:r>
      <w:r w:rsidR="00F5540F">
        <w:rPr>
          <w:lang w:val="en-GB"/>
        </w:rPr>
        <w:t xml:space="preserve">to include the feedbacks of only </w:t>
      </w:r>
      <w:r w:rsidR="006759B1">
        <w:rPr>
          <w:lang w:val="en-GB"/>
        </w:rPr>
        <w:t>feedback enabled processes</w:t>
      </w:r>
      <w:r w:rsidR="005D434D">
        <w:rPr>
          <w:lang w:val="en-GB"/>
        </w:rPr>
        <w:t xml:space="preserve">. For the DAI values </w:t>
      </w:r>
      <w:r w:rsidR="005549D5">
        <w:rPr>
          <w:lang w:val="en-GB"/>
        </w:rPr>
        <w:t xml:space="preserve">in the DCIs of feedback-disabled processes, </w:t>
      </w:r>
      <w:r w:rsidR="00643375">
        <w:rPr>
          <w:lang w:val="en-GB"/>
        </w:rPr>
        <w:t xml:space="preserve">it has been agreed to </w:t>
      </w:r>
      <w:r w:rsidR="005C4758">
        <w:rPr>
          <w:lang w:val="en-GB"/>
        </w:rPr>
        <w:t>choose among the following two options</w:t>
      </w:r>
      <w:r w:rsidR="005549D5">
        <w:rPr>
          <w:lang w:val="en-GB"/>
        </w:rPr>
        <w:t xml:space="preserve"> [1]</w:t>
      </w:r>
      <w:r w:rsidR="005C4758">
        <w:rPr>
          <w:lang w:val="en-GB"/>
        </w:rPr>
        <w:t xml:space="preserve">: </w:t>
      </w:r>
    </w:p>
    <w:p w14:paraId="5A94134D" w14:textId="77777777" w:rsidR="005C4758" w:rsidRPr="006E729D" w:rsidRDefault="005C4758" w:rsidP="005C4758">
      <w:pPr>
        <w:numPr>
          <w:ilvl w:val="0"/>
          <w:numId w:val="30"/>
        </w:numPr>
        <w:overflowPunct/>
        <w:autoSpaceDE/>
        <w:autoSpaceDN/>
        <w:snapToGrid w:val="0"/>
        <w:spacing w:after="0"/>
        <w:ind w:left="1008"/>
        <w:textAlignment w:val="auto"/>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DB55466" w14:textId="5288871A" w:rsidR="005C4758" w:rsidRPr="003E0E75" w:rsidRDefault="005C4758" w:rsidP="005C4758">
      <w:pPr>
        <w:numPr>
          <w:ilvl w:val="0"/>
          <w:numId w:val="30"/>
        </w:numPr>
        <w:overflowPunct/>
        <w:autoSpaceDE/>
        <w:autoSpaceDN/>
        <w:snapToGrid w:val="0"/>
        <w:spacing w:after="0"/>
        <w:ind w:left="1008"/>
        <w:textAlignment w:val="auto"/>
        <w:rPr>
          <w:bCs/>
        </w:rPr>
      </w:pPr>
      <w:r w:rsidRPr="006E729D">
        <w:rPr>
          <w:bCs/>
        </w:rPr>
        <w:t xml:space="preserve">Option-2: The C-DAI and T-DAI are ignored by the UE regardless of the value </w:t>
      </w:r>
      <w:r w:rsidRPr="006E729D">
        <w:t>for Type 2 codebook generation.</w:t>
      </w:r>
    </w:p>
    <w:p w14:paraId="5AB3D021" w14:textId="77777777" w:rsidR="003E0E75" w:rsidRPr="006E729D" w:rsidRDefault="003E0E75" w:rsidP="003E0E75">
      <w:pPr>
        <w:overflowPunct/>
        <w:autoSpaceDE/>
        <w:autoSpaceDN/>
        <w:snapToGrid w:val="0"/>
        <w:spacing w:after="0"/>
        <w:ind w:left="1008"/>
        <w:textAlignment w:val="auto"/>
        <w:rPr>
          <w:bCs/>
        </w:rPr>
      </w:pPr>
    </w:p>
    <w:p w14:paraId="2F39C536" w14:textId="77777777" w:rsidR="009A309E" w:rsidRDefault="00037746" w:rsidP="007D3CC3">
      <w:pPr>
        <w:rPr>
          <w:lang w:val="en-GB"/>
        </w:rPr>
      </w:pPr>
      <w:r>
        <w:rPr>
          <w:lang w:val="en-GB"/>
        </w:rPr>
        <w:t>In option 1,</w:t>
      </w:r>
      <w:r w:rsidR="00CE4222">
        <w:rPr>
          <w:lang w:val="en-GB"/>
        </w:rPr>
        <w:t xml:space="preserve"> </w:t>
      </w:r>
      <w:r w:rsidR="00682CC0">
        <w:rPr>
          <w:lang w:val="en-GB"/>
        </w:rPr>
        <w:t xml:space="preserve">it’s unclear what will be the values of the DAI counters of a DCI with a feedback disable HARQ process </w:t>
      </w:r>
      <w:r w:rsidR="00833E52">
        <w:rPr>
          <w:lang w:val="en-GB"/>
        </w:rPr>
        <w:t>that is transmitted in between</w:t>
      </w:r>
      <w:r w:rsidR="00A87171">
        <w:rPr>
          <w:lang w:val="en-GB"/>
        </w:rPr>
        <w:t xml:space="preserve"> the DCIs of </w:t>
      </w:r>
      <w:r w:rsidR="00833E52">
        <w:rPr>
          <w:lang w:val="en-GB"/>
        </w:rPr>
        <w:t xml:space="preserve">two </w:t>
      </w:r>
      <w:r w:rsidR="0046082F">
        <w:rPr>
          <w:lang w:val="en-GB"/>
        </w:rPr>
        <w:t>feedback windows. O</w:t>
      </w:r>
      <w:r w:rsidR="00CE4222">
        <w:rPr>
          <w:lang w:val="en-GB"/>
        </w:rPr>
        <w:t>ur understand</w:t>
      </w:r>
      <w:r w:rsidR="00E25396">
        <w:rPr>
          <w:lang w:val="en-GB"/>
        </w:rPr>
        <w:t>ing</w:t>
      </w:r>
      <w:r w:rsidR="00CE4222">
        <w:rPr>
          <w:lang w:val="en-GB"/>
        </w:rPr>
        <w:t xml:space="preserve"> is that </w:t>
      </w:r>
      <w:r>
        <w:rPr>
          <w:lang w:val="en-GB"/>
        </w:rPr>
        <w:t xml:space="preserve">the values of the DAI counters of the most recent </w:t>
      </w:r>
      <w:r w:rsidR="00013946">
        <w:rPr>
          <w:lang w:val="en-GB"/>
        </w:rPr>
        <w:t xml:space="preserve">DCI of a feedback enabled HARQ process will be </w:t>
      </w:r>
      <w:r w:rsidR="005C03A9">
        <w:rPr>
          <w:lang w:val="en-GB"/>
        </w:rPr>
        <w:t>repeated in the following DCI(s) of feedback-disabled process</w:t>
      </w:r>
      <w:r w:rsidR="00DB2D74">
        <w:rPr>
          <w:lang w:val="en-GB"/>
        </w:rPr>
        <w:t xml:space="preserve"> until another DCI wi</w:t>
      </w:r>
      <w:r w:rsidR="005361CA">
        <w:rPr>
          <w:lang w:val="en-GB"/>
        </w:rPr>
        <w:t>th a feedback-enabled process is transmitted</w:t>
      </w:r>
      <w:r w:rsidR="005C03A9">
        <w:rPr>
          <w:lang w:val="en-GB"/>
        </w:rPr>
        <w:t xml:space="preserve">. </w:t>
      </w:r>
      <w:r w:rsidR="00410CCE">
        <w:rPr>
          <w:lang w:val="en-GB"/>
        </w:rPr>
        <w:t xml:space="preserve">As demonstrated in Figure </w:t>
      </w:r>
      <w:r w:rsidR="00C22DC0">
        <w:rPr>
          <w:lang w:val="en-GB"/>
        </w:rPr>
        <w:t>1</w:t>
      </w:r>
      <w:r w:rsidR="00410CCE">
        <w:rPr>
          <w:lang w:val="en-GB"/>
        </w:rPr>
        <w:t xml:space="preserve">, </w:t>
      </w:r>
      <w:r w:rsidR="000553B9">
        <w:rPr>
          <w:lang w:val="en-GB"/>
        </w:rPr>
        <w:t xml:space="preserve">even the last </w:t>
      </w:r>
      <w:r w:rsidR="00AB404A">
        <w:rPr>
          <w:lang w:val="en-GB"/>
        </w:rPr>
        <w:t xml:space="preserve">DCI of feedback-enabled processes within a feedback window is missing, </w:t>
      </w:r>
      <w:r w:rsidR="00656860">
        <w:rPr>
          <w:lang w:val="en-GB"/>
        </w:rPr>
        <w:t>thanks to the following DCI of feedback disable</w:t>
      </w:r>
      <w:r w:rsidR="00DE2766">
        <w:rPr>
          <w:lang w:val="en-GB"/>
        </w:rPr>
        <w:t>d</w:t>
      </w:r>
      <w:r w:rsidR="00656860">
        <w:rPr>
          <w:lang w:val="en-GB"/>
        </w:rPr>
        <w:t xml:space="preserve"> process</w:t>
      </w:r>
      <w:r w:rsidR="00601313">
        <w:rPr>
          <w:lang w:val="en-GB"/>
        </w:rPr>
        <w:t xml:space="preserve">es </w:t>
      </w:r>
      <w:r w:rsidR="00AB404A">
        <w:rPr>
          <w:lang w:val="en-GB"/>
        </w:rPr>
        <w:t>UE still knows the correct codebook size</w:t>
      </w:r>
      <w:r w:rsidR="00656860">
        <w:rPr>
          <w:lang w:val="en-GB"/>
        </w:rPr>
        <w:t xml:space="preserve"> and </w:t>
      </w:r>
      <w:r w:rsidR="00776FDD">
        <w:rPr>
          <w:lang w:val="en-GB"/>
        </w:rPr>
        <w:t xml:space="preserve">is able to </w:t>
      </w:r>
      <w:r w:rsidR="00B26E38">
        <w:rPr>
          <w:lang w:val="en-GB"/>
        </w:rPr>
        <w:t xml:space="preserve">provide the correct feedback. </w:t>
      </w:r>
      <w:r w:rsidR="00A61C8A">
        <w:rPr>
          <w:lang w:val="en-GB"/>
        </w:rPr>
        <w:t xml:space="preserve">This enhanced UE </w:t>
      </w:r>
      <w:r w:rsidR="00593C70">
        <w:rPr>
          <w:lang w:val="en-GB"/>
        </w:rPr>
        <w:t>behaviour</w:t>
      </w:r>
      <w:r w:rsidR="00A61C8A">
        <w:rPr>
          <w:lang w:val="en-GB"/>
        </w:rPr>
        <w:t xml:space="preserve"> does not have any impact on the</w:t>
      </w:r>
      <w:r w:rsidR="00593C70">
        <w:rPr>
          <w:lang w:val="en-GB"/>
        </w:rPr>
        <w:t xml:space="preserve"> implementation of HARQ codebook decoder</w:t>
      </w:r>
      <w:r w:rsidR="00AA083F">
        <w:rPr>
          <w:lang w:val="en-GB"/>
        </w:rPr>
        <w:t>. Al</w:t>
      </w:r>
      <w:r w:rsidR="003512CC">
        <w:rPr>
          <w:lang w:val="en-GB"/>
        </w:rPr>
        <w:t>so,</w:t>
      </w:r>
      <w:r w:rsidR="00ED1F1A">
        <w:rPr>
          <w:lang w:val="en-GB"/>
        </w:rPr>
        <w:t xml:space="preserve"> it </w:t>
      </w:r>
      <w:r w:rsidR="0044284A">
        <w:rPr>
          <w:lang w:val="en-GB"/>
        </w:rPr>
        <w:t>is</w:t>
      </w:r>
      <w:r w:rsidR="00ED1F1A">
        <w:rPr>
          <w:lang w:val="en-GB"/>
        </w:rPr>
        <w:t xml:space="preserve"> up to UE implementation </w:t>
      </w:r>
      <w:r w:rsidR="00AA083F">
        <w:rPr>
          <w:lang w:val="en-GB"/>
        </w:rPr>
        <w:t xml:space="preserve">to </w:t>
      </w:r>
      <w:r w:rsidR="004825EA">
        <w:rPr>
          <w:lang w:val="en-GB"/>
        </w:rPr>
        <w:t xml:space="preserve">decide whether to </w:t>
      </w:r>
      <w:r w:rsidR="00AA083F">
        <w:rPr>
          <w:lang w:val="en-GB"/>
        </w:rPr>
        <w:t>take the advantage</w:t>
      </w:r>
      <w:r w:rsidR="00486A88">
        <w:rPr>
          <w:lang w:val="en-GB"/>
        </w:rPr>
        <w:t xml:space="preserve"> of the repeated DAI counters</w:t>
      </w:r>
      <w:r w:rsidR="00DE1954">
        <w:rPr>
          <w:lang w:val="en-GB"/>
        </w:rPr>
        <w:t>.</w:t>
      </w:r>
    </w:p>
    <w:p w14:paraId="598EE92C" w14:textId="7F77A5CC" w:rsidR="005C4758" w:rsidRDefault="001416D5" w:rsidP="007D3CC3">
      <w:pPr>
        <w:rPr>
          <w:lang w:val="en-GB"/>
        </w:rPr>
      </w:pPr>
      <w:r>
        <w:rPr>
          <w:lang w:val="en-GB"/>
        </w:rPr>
        <w:t xml:space="preserve">Proponents of Option-2 have concerns on </w:t>
      </w:r>
      <w:r w:rsidR="007F18DB">
        <w:rPr>
          <w:lang w:val="en-GB"/>
        </w:rPr>
        <w:t xml:space="preserve">Option-1’s </w:t>
      </w:r>
      <w:r w:rsidR="00EA4F14">
        <w:rPr>
          <w:lang w:val="en-GB"/>
        </w:rPr>
        <w:t>impacts</w:t>
      </w:r>
      <w:r w:rsidR="007F18DB">
        <w:rPr>
          <w:lang w:val="en-GB"/>
        </w:rPr>
        <w:t xml:space="preserve"> </w:t>
      </w:r>
      <w:r w:rsidR="00EA4F14">
        <w:rPr>
          <w:lang w:val="en-GB"/>
        </w:rPr>
        <w:t xml:space="preserve">on specification. </w:t>
      </w:r>
      <w:r w:rsidR="002143F3">
        <w:rPr>
          <w:lang w:val="en-GB"/>
        </w:rPr>
        <w:t>As discussed in the above, with some clarification,</w:t>
      </w:r>
      <w:r w:rsidR="007F18DB">
        <w:rPr>
          <w:lang w:val="en-GB"/>
        </w:rPr>
        <w:t xml:space="preserve"> Option-1</w:t>
      </w:r>
      <w:r w:rsidR="005F11FC">
        <w:rPr>
          <w:lang w:val="en-GB"/>
        </w:rPr>
        <w:t xml:space="preserve">’s </w:t>
      </w:r>
      <w:r w:rsidR="002143F3">
        <w:rPr>
          <w:lang w:val="en-GB"/>
        </w:rPr>
        <w:t xml:space="preserve">impacts on specification can be </w:t>
      </w:r>
      <w:r w:rsidR="005F11FC">
        <w:rPr>
          <w:lang w:val="en-GB"/>
        </w:rPr>
        <w:t xml:space="preserve">made minimal, i.e., only one statement added. </w:t>
      </w:r>
      <w:r w:rsidR="00B31F75">
        <w:rPr>
          <w:lang w:val="en-GB"/>
        </w:rPr>
        <w:t xml:space="preserve"> </w:t>
      </w:r>
      <w:r w:rsidR="00B159CE">
        <w:rPr>
          <w:lang w:val="en-GB"/>
        </w:rPr>
        <w:t>The modified version of Option</w:t>
      </w:r>
      <w:r w:rsidR="00F724C4">
        <w:rPr>
          <w:lang w:val="en-GB"/>
        </w:rPr>
        <w:t>-1 is as in the following:</w:t>
      </w:r>
    </w:p>
    <w:p w14:paraId="552610B2" w14:textId="6427075D" w:rsidR="004825EA" w:rsidRPr="0099795C" w:rsidRDefault="00B45622" w:rsidP="007D3CC3">
      <w:pPr>
        <w:rPr>
          <w:b/>
        </w:rPr>
      </w:pPr>
      <w:r w:rsidRPr="0099795C">
        <w:rPr>
          <w:b/>
        </w:rPr>
        <w:t xml:space="preserve">Proposal </w:t>
      </w:r>
      <w:r w:rsidR="003E0E75">
        <w:rPr>
          <w:b/>
        </w:rPr>
        <w:t>1</w:t>
      </w:r>
      <w:r w:rsidRPr="0099795C">
        <w:rPr>
          <w:b/>
        </w:rPr>
        <w:t xml:space="preserve">: </w:t>
      </w:r>
      <w:r w:rsidR="00EC1E89" w:rsidRPr="00EC1E89">
        <w:rPr>
          <w:b/>
        </w:rPr>
        <w:t>For Type-2 codebook generation,</w:t>
      </w:r>
      <w:r w:rsidR="00EC1E89">
        <w:rPr>
          <w:b/>
        </w:rPr>
        <w:t xml:space="preserve"> UE </w:t>
      </w:r>
      <w:r w:rsidR="004A6821" w:rsidRPr="002F1F50">
        <w:rPr>
          <w:b/>
          <w:i/>
          <w:iCs/>
        </w:rPr>
        <w:t>may</w:t>
      </w:r>
      <w:r w:rsidR="004A6821">
        <w:rPr>
          <w:b/>
        </w:rPr>
        <w:t xml:space="preserve"> </w:t>
      </w:r>
      <w:r w:rsidR="00EC1E89">
        <w:rPr>
          <w:b/>
        </w:rPr>
        <w:t xml:space="preserve">assume that the C-DAI and T-DAI of the DCI </w:t>
      </w:r>
      <w:r w:rsidR="00CE7BCE">
        <w:rPr>
          <w:b/>
        </w:rPr>
        <w:t xml:space="preserve">of PDSCH with feedback-disabled process is the same as the C_DAI and T-DAI of the </w:t>
      </w:r>
      <w:r w:rsidR="00C722D2">
        <w:rPr>
          <w:b/>
        </w:rPr>
        <w:t>m</w:t>
      </w:r>
      <w:r w:rsidR="00CE7BCE">
        <w:rPr>
          <w:b/>
        </w:rPr>
        <w:t xml:space="preserve">ost </w:t>
      </w:r>
      <w:r w:rsidR="003D00F7">
        <w:rPr>
          <w:b/>
        </w:rPr>
        <w:t xml:space="preserve">recently transmitted DCI of PDSCH with feedback-enabled process by </w:t>
      </w:r>
      <w:proofErr w:type="spellStart"/>
      <w:r w:rsidR="003D00F7">
        <w:rPr>
          <w:b/>
        </w:rPr>
        <w:t>gNB</w:t>
      </w:r>
      <w:proofErr w:type="spellEnd"/>
      <w:r w:rsidR="003D00F7">
        <w:rPr>
          <w:b/>
        </w:rPr>
        <w:t xml:space="preserve">. </w:t>
      </w:r>
      <w:r w:rsidR="00EC1E89" w:rsidRPr="00EC1E89">
        <w:rPr>
          <w:b/>
        </w:rPr>
        <w:t xml:space="preserve"> </w:t>
      </w:r>
    </w:p>
    <w:p w14:paraId="7EAA6C1A" w14:textId="77777777" w:rsidR="00A21BCD" w:rsidRDefault="003B5D19" w:rsidP="00A21BCD">
      <w:pPr>
        <w:keepNext/>
        <w:jc w:val="center"/>
      </w:pPr>
      <w:r>
        <w:object w:dxaOrig="9925" w:dyaOrig="5341" w14:anchorId="5E9D9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28.6pt" o:ole="">
            <v:imagedata r:id="rId11" o:title=""/>
          </v:shape>
          <o:OLEObject Type="Embed" ProgID="Visio.Drawing.15" ShapeID="_x0000_i1025" DrawAspect="Content" ObjectID="_1706339150" r:id="rId12"/>
        </w:object>
      </w:r>
    </w:p>
    <w:p w14:paraId="33FF7491" w14:textId="3A7686FD" w:rsidR="0011140D" w:rsidRDefault="00A21BCD" w:rsidP="00A21BCD">
      <w:pPr>
        <w:pStyle w:val="Caption"/>
        <w:jc w:val="center"/>
        <w:rPr>
          <w:lang w:val="en-GB"/>
        </w:rPr>
      </w:pPr>
      <w:r>
        <w:t xml:space="preserve">Figure </w:t>
      </w:r>
      <w:r w:rsidR="00C22DC0">
        <w:t>1</w:t>
      </w:r>
      <w:r>
        <w:t xml:space="preserve">. </w:t>
      </w:r>
      <w:r w:rsidR="005D4156">
        <w:t>An example where repeated DAI counters in DCI</w:t>
      </w:r>
      <w:r w:rsidR="00B321E0">
        <w:t>s</w:t>
      </w:r>
      <w:r w:rsidR="005D4156">
        <w:t xml:space="preserve"> of feedback-disable HARQ processes help</w:t>
      </w:r>
      <w:r w:rsidR="0099795C">
        <w:t xml:space="preserve"> the determination of codebook size.</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71304C5" w14:textId="336785C5" w:rsidR="000E48B0" w:rsidRDefault="000E48B0" w:rsidP="000E48B0">
      <w:pPr>
        <w:rPr>
          <w:lang w:val="en-GB"/>
        </w:rPr>
      </w:pPr>
      <w:r>
        <w:rPr>
          <w:lang w:val="en-GB"/>
        </w:rPr>
        <w:t xml:space="preserve">For smart phones in NTN, DL achievable SNR can be more than 20 dB </w:t>
      </w:r>
      <w:r w:rsidR="00A636A2">
        <w:rPr>
          <w:lang w:val="en-GB"/>
        </w:rPr>
        <w:t xml:space="preserve">higher </w:t>
      </w:r>
      <w:r>
        <w:rPr>
          <w:lang w:val="en-GB"/>
        </w:rPr>
        <w:t xml:space="preserve">than UL achievable SNR due to limited UE transmit power. In such case, DL throughput can be limited by UL feedbacks without improved HARQ feedback efficiency. As can be seen from Figure </w:t>
      </w:r>
      <w:r w:rsidR="005012EE">
        <w:rPr>
          <w:lang w:val="en-GB"/>
        </w:rPr>
        <w:t>2</w:t>
      </w:r>
      <w:r>
        <w:rPr>
          <w:lang w:val="en-GB"/>
        </w:rPr>
        <w:t xml:space="preserve">, for SNR =-12 dB one full slot is required for one feedback bit. It’s hence critical to consider techniques for improved feedback efficiency. For </w:t>
      </w:r>
      <w:r w:rsidR="000D5AC9">
        <w:rPr>
          <w:lang w:val="en-GB"/>
        </w:rPr>
        <w:t xml:space="preserve">dynamic </w:t>
      </w:r>
      <w:r>
        <w:rPr>
          <w:lang w:val="en-GB"/>
        </w:rPr>
        <w:t xml:space="preserve">codebook, this can be done by </w:t>
      </w:r>
      <w:r w:rsidR="00424F78">
        <w:rPr>
          <w:lang w:val="en-GB"/>
        </w:rPr>
        <w:t xml:space="preserve">spatial </w:t>
      </w:r>
      <w:r w:rsidR="00330CB1">
        <w:rPr>
          <w:lang w:val="en-GB"/>
        </w:rPr>
        <w:t>bundling</w:t>
      </w:r>
      <w:r w:rsidR="00424F78">
        <w:rPr>
          <w:lang w:val="en-GB"/>
        </w:rPr>
        <w:t xml:space="preserve"> all the</w:t>
      </w:r>
      <w:r w:rsidR="001657B8">
        <w:rPr>
          <w:lang w:val="en-GB"/>
        </w:rPr>
        <w:t xml:space="preserve"> </w:t>
      </w:r>
      <w:r w:rsidR="00424F78">
        <w:rPr>
          <w:lang w:val="en-GB"/>
        </w:rPr>
        <w:t>feedback bits</w:t>
      </w:r>
      <w:r w:rsidR="001657B8">
        <w:rPr>
          <w:lang w:val="en-GB"/>
        </w:rPr>
        <w:t xml:space="preserve"> so that only one bit </w:t>
      </w:r>
      <w:r w:rsidR="00D513BB">
        <w:rPr>
          <w:lang w:val="en-GB"/>
        </w:rPr>
        <w:t>is transmitted. If there is one or more PDSCH decoding failures</w:t>
      </w:r>
      <w:r w:rsidR="000C6137">
        <w:rPr>
          <w:lang w:val="en-GB"/>
        </w:rPr>
        <w:t xml:space="preserve">, UE will provide a negative feedback and network will retransmit all the PDSCHs. To ensure </w:t>
      </w:r>
      <w:r w:rsidR="00AA00B6">
        <w:rPr>
          <w:lang w:val="en-GB"/>
        </w:rPr>
        <w:t xml:space="preserve">a small probability of </w:t>
      </w:r>
      <w:r w:rsidR="00BC4124">
        <w:rPr>
          <w:lang w:val="en-GB"/>
        </w:rPr>
        <w:t xml:space="preserve">PDSCH </w:t>
      </w:r>
      <w:r w:rsidR="00AA00B6">
        <w:rPr>
          <w:lang w:val="en-GB"/>
        </w:rPr>
        <w:t>retransmission</w:t>
      </w:r>
      <w:r w:rsidR="00D3461C">
        <w:rPr>
          <w:lang w:val="en-GB"/>
        </w:rPr>
        <w:t xml:space="preserve">, network can limit the </w:t>
      </w:r>
      <w:r w:rsidR="002D1E66">
        <w:rPr>
          <w:lang w:val="en-GB"/>
        </w:rPr>
        <w:t xml:space="preserve">number of PDSCHs before feedback is requested and </w:t>
      </w:r>
      <w:r w:rsidR="000E4CB9">
        <w:rPr>
          <w:lang w:val="en-GB"/>
        </w:rPr>
        <w:t xml:space="preserve">slightly reduce the target BLER of PDSCH transmissions. </w:t>
      </w:r>
      <w:r w:rsidR="0064530A">
        <w:rPr>
          <w:lang w:val="en-GB"/>
        </w:rPr>
        <w:t xml:space="preserve">For instance, if the </w:t>
      </w:r>
      <w:r w:rsidR="00A96765">
        <w:rPr>
          <w:lang w:val="en-GB"/>
        </w:rPr>
        <w:t>code book size is limited to be 4 or less</w:t>
      </w:r>
      <w:r w:rsidR="009D2667">
        <w:rPr>
          <w:lang w:val="en-GB"/>
        </w:rPr>
        <w:t xml:space="preserve"> by scheduling and the BLER target is set at 2.5% instead of 10%, the </w:t>
      </w:r>
      <w:r w:rsidR="00D40076">
        <w:rPr>
          <w:lang w:val="en-GB"/>
        </w:rPr>
        <w:t xml:space="preserve">probability of retransmission is limited at 10%. </w:t>
      </w:r>
    </w:p>
    <w:p w14:paraId="4836729C" w14:textId="256E7C57" w:rsidR="00A3768E" w:rsidRPr="0021080D" w:rsidRDefault="00BC4124" w:rsidP="000E48B0">
      <w:pPr>
        <w:rPr>
          <w:b/>
          <w:bCs/>
          <w:lang w:val="en-GB"/>
        </w:rPr>
      </w:pPr>
      <w:r w:rsidRPr="0021080D">
        <w:rPr>
          <w:b/>
          <w:bCs/>
          <w:lang w:val="en-GB"/>
        </w:rPr>
        <w:t xml:space="preserve">Proposal </w:t>
      </w:r>
      <w:r w:rsidR="005012EE">
        <w:rPr>
          <w:b/>
          <w:bCs/>
          <w:lang w:val="en-GB"/>
        </w:rPr>
        <w:t>2</w:t>
      </w:r>
      <w:r w:rsidRPr="0021080D">
        <w:rPr>
          <w:b/>
          <w:bCs/>
          <w:lang w:val="en-GB"/>
        </w:rPr>
        <w:t xml:space="preserve">: For Type-2 HARQ codebook, support </w:t>
      </w:r>
      <w:r w:rsidR="0076256B" w:rsidRPr="0021080D">
        <w:rPr>
          <w:b/>
          <w:bCs/>
          <w:lang w:val="en-GB"/>
        </w:rPr>
        <w:t>spatial</w:t>
      </w:r>
      <w:r w:rsidR="00330CB1" w:rsidRPr="0021080D">
        <w:rPr>
          <w:b/>
          <w:bCs/>
          <w:lang w:val="en-GB"/>
        </w:rPr>
        <w:t xml:space="preserve"> bundling of all feedback bits</w:t>
      </w:r>
      <w:r w:rsidR="00A3768E" w:rsidRPr="0021080D">
        <w:rPr>
          <w:b/>
          <w:bCs/>
          <w:lang w:val="en-GB"/>
        </w:rPr>
        <w:t xml:space="preserve"> in a codebook</w:t>
      </w:r>
      <w:r w:rsidR="00DB0F47" w:rsidRPr="0021080D">
        <w:rPr>
          <w:b/>
          <w:bCs/>
          <w:lang w:val="en-GB"/>
        </w:rPr>
        <w:t xml:space="preserve"> </w:t>
      </w:r>
      <w:r w:rsidR="0012127A">
        <w:rPr>
          <w:b/>
          <w:bCs/>
          <w:lang w:val="en-GB"/>
        </w:rPr>
        <w:t>if the number of feed</w:t>
      </w:r>
      <w:r w:rsidR="004663A2">
        <w:rPr>
          <w:b/>
          <w:bCs/>
          <w:lang w:val="en-GB"/>
        </w:rPr>
        <w:t xml:space="preserve">back bits without bundling is less than or equal to </w:t>
      </w:r>
      <w:r w:rsidR="004663A2" w:rsidRPr="004663A2">
        <w:rPr>
          <w:b/>
          <w:bCs/>
          <w:i/>
          <w:iCs/>
          <w:lang w:val="en-GB"/>
        </w:rPr>
        <w:t>N</w:t>
      </w:r>
      <w:r w:rsidR="006B5DA4" w:rsidRPr="0021080D">
        <w:rPr>
          <w:b/>
          <w:bCs/>
          <w:lang w:val="en-GB"/>
        </w:rPr>
        <w:t xml:space="preserve">. </w:t>
      </w:r>
    </w:p>
    <w:p w14:paraId="328D9782" w14:textId="3A41AF71" w:rsidR="006B5DA4" w:rsidRPr="0021080D" w:rsidRDefault="006B5DA4" w:rsidP="0021080D">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0E1B3DF5" w14:textId="0229BBFC" w:rsidR="00A3768E" w:rsidRDefault="00A3768E" w:rsidP="000E48B0">
      <w:pPr>
        <w:rPr>
          <w:lang w:val="en-GB"/>
        </w:rPr>
      </w:pPr>
    </w:p>
    <w:p w14:paraId="0A7F1C29" w14:textId="77777777" w:rsidR="00E66EE2" w:rsidRDefault="00E66EE2" w:rsidP="009640FD">
      <w:pPr>
        <w:keepNext/>
        <w:jc w:val="center"/>
      </w:pPr>
      <w:r>
        <w:rPr>
          <w:noProof/>
        </w:rPr>
        <w:drawing>
          <wp:inline distT="0" distB="0" distL="0" distR="0" wp14:anchorId="5B008DC1" wp14:editId="4292539E">
            <wp:extent cx="3697071" cy="2767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843" cy="2782323"/>
                    </a:xfrm>
                    <a:prstGeom prst="rect">
                      <a:avLst/>
                    </a:prstGeom>
                    <a:noFill/>
                    <a:ln>
                      <a:noFill/>
                    </a:ln>
                  </pic:spPr>
                </pic:pic>
              </a:graphicData>
            </a:graphic>
          </wp:inline>
        </w:drawing>
      </w:r>
    </w:p>
    <w:p w14:paraId="1E18FA1E" w14:textId="4374863E" w:rsidR="00E66EE2" w:rsidRDefault="00E66EE2" w:rsidP="009640FD">
      <w:pPr>
        <w:pStyle w:val="Caption"/>
        <w:jc w:val="center"/>
        <w:rPr>
          <w:lang w:val="en-GB"/>
        </w:rPr>
      </w:pPr>
      <w:r>
        <w:t xml:space="preserve">Figure </w:t>
      </w:r>
      <w:r w:rsidR="005012EE">
        <w:t>2</w:t>
      </w:r>
      <w:r w:rsidR="009640FD">
        <w:t>.</w:t>
      </w:r>
      <w:r w:rsidR="009F2E32">
        <w:t xml:space="preserve"> Performance of </w:t>
      </w:r>
      <w:r w:rsidR="00E84AD4">
        <w:t xml:space="preserve">1-bit </w:t>
      </w:r>
      <w:r w:rsidR="00B17D3D">
        <w:t xml:space="preserve">HARQ-ACK on PUCCH format </w:t>
      </w:r>
      <w:r w:rsidR="00010AF6">
        <w:t xml:space="preserve">1 of </w:t>
      </w:r>
      <w:r w:rsidR="00962043">
        <w:t>14 symbols and 1 PRB</w:t>
      </w:r>
      <w:r w:rsidR="009640FD">
        <w:t xml:space="preserve"> over NTN-TDL-C.</w:t>
      </w:r>
    </w:p>
    <w:p w14:paraId="17844D94" w14:textId="77777777" w:rsidR="00E66EE2" w:rsidRDefault="00E66EE2" w:rsidP="007D3CC3">
      <w:pPr>
        <w:rPr>
          <w:lang w:val="en-GB"/>
        </w:rPr>
      </w:pPr>
    </w:p>
    <w:p w14:paraId="15ECC228" w14:textId="543168AC" w:rsidR="004021DE" w:rsidRDefault="004021DE" w:rsidP="004021DE">
      <w:pPr>
        <w:rPr>
          <w:lang w:val="en-GB"/>
        </w:rPr>
      </w:pPr>
      <w:r>
        <w:rPr>
          <w:lang w:val="en-GB"/>
        </w:rPr>
        <w:t xml:space="preserve">It has been agreed that HARQ processes with feedback disabled are still configured to allow blind retransmissions. Without HARQ-ACK feedbacks, however, DL scheduling of the HARQ process will be susceptible to errors without additional enhancements. An example is shown in Figure </w:t>
      </w:r>
      <w:r w:rsidR="00DA2D37">
        <w:rPr>
          <w:lang w:val="en-GB"/>
        </w:rPr>
        <w:t>3</w:t>
      </w:r>
      <w:r>
        <w:rPr>
          <w:lang w:val="en-GB"/>
        </w:rPr>
        <w:t xml:space="preserve">. In the figure, all transmissions are of the same HARQ process carrying different </w:t>
      </w:r>
      <w:proofErr w:type="spellStart"/>
      <w:r>
        <w:rPr>
          <w:lang w:val="en-GB"/>
        </w:rPr>
        <w:t>TBs.</w:t>
      </w:r>
      <w:proofErr w:type="spellEnd"/>
      <w:r>
        <w:rPr>
          <w:lang w:val="en-GB"/>
        </w:rPr>
        <w:t xml:space="preserve"> Suppose UE misses the PDCCH of the second PDSCH and HARQ feedback is disabled for the process, UE will understand the third PDSCH as a retransmission of the first PDSCH and miss the third PDSCH again.  When HARQ feedback is enabled, the above scenario is unlikely to happen. Since network knows that the second PDSCH was missed, it will schedule the third PDSCH as a retransmission of the second PDSCH instead of a new transmission.  </w:t>
      </w:r>
    </w:p>
    <w:p w14:paraId="36E1470F" w14:textId="77777777" w:rsidR="004021DE" w:rsidRDefault="004021DE" w:rsidP="004021DE">
      <w:pPr>
        <w:keepNext/>
        <w:jc w:val="center"/>
      </w:pPr>
      <w:r w:rsidRPr="005B2792">
        <w:object w:dxaOrig="6541" w:dyaOrig="3733" w14:anchorId="1126BB51">
          <v:shape id="_x0000_i1026" type="#_x0000_t75" style="width:330pt;height:186.1pt" o:ole="">
            <v:imagedata r:id="rId14" o:title=""/>
          </v:shape>
          <o:OLEObject Type="Embed" ProgID="Visio.Drawing.11" ShapeID="_x0000_i1026" DrawAspect="Content" ObjectID="_1706339151" r:id="rId15"/>
        </w:object>
      </w:r>
    </w:p>
    <w:p w14:paraId="7B6FCBB5" w14:textId="5F831417" w:rsidR="004021DE" w:rsidRDefault="004021DE" w:rsidP="004021DE">
      <w:pPr>
        <w:pStyle w:val="Caption"/>
        <w:jc w:val="center"/>
        <w:rPr>
          <w:lang w:val="en-GB"/>
        </w:rPr>
      </w:pPr>
      <w:r>
        <w:t xml:space="preserve">Figure </w:t>
      </w:r>
      <w:r w:rsidR="00E81C85">
        <w:t>3</w:t>
      </w:r>
      <w:r>
        <w:rPr>
          <w:noProof/>
        </w:rPr>
        <w:t>.</w:t>
      </w:r>
      <w:r>
        <w:t xml:space="preserve"> Example DL scheduling using NDI: Without HARQ feedback and if UE misses the PDCCH of second transmission, UE will understand the third transmission as a repetition of the first. </w:t>
      </w:r>
    </w:p>
    <w:p w14:paraId="0AE6E6FA" w14:textId="77777777" w:rsidR="004021DE" w:rsidRDefault="004021DE" w:rsidP="004021DE">
      <w:pPr>
        <w:rPr>
          <w:lang w:val="en-GB"/>
        </w:rPr>
      </w:pPr>
    </w:p>
    <w:p w14:paraId="5737C0FD" w14:textId="77777777" w:rsidR="004021DE" w:rsidRDefault="004021DE" w:rsidP="004021DE">
      <w:pPr>
        <w:rPr>
          <w:lang w:val="en-GB"/>
        </w:rPr>
      </w:pPr>
      <w:r>
        <w:rPr>
          <w:lang w:val="en-GB"/>
        </w:rPr>
        <w:t>Assigning a RV, say RV 0, exclusively for the initial transmission will solve the above problem. This is because RV now provides information for UE to determining if a transmission is new or old in addition to NDI. In the above example, even UE misses the PDCCH of the second transmission, the UE understands that the third transmission is a new one by the use of RV 0.</w:t>
      </w:r>
    </w:p>
    <w:p w14:paraId="10F37E48" w14:textId="083493FE" w:rsidR="004021DE" w:rsidRDefault="004021DE" w:rsidP="004021DE">
      <w:pPr>
        <w:rPr>
          <w:b/>
          <w:bCs/>
          <w:lang w:val="en-GB"/>
        </w:rPr>
      </w:pPr>
      <w:r w:rsidRPr="00394A28">
        <w:rPr>
          <w:b/>
          <w:bCs/>
          <w:lang w:val="en-GB"/>
        </w:rPr>
        <w:t>Proposal</w:t>
      </w:r>
      <w:r>
        <w:rPr>
          <w:b/>
          <w:bCs/>
          <w:lang w:val="en-GB"/>
        </w:rPr>
        <w:t xml:space="preserve"> </w:t>
      </w:r>
      <w:r w:rsidR="002C06B7">
        <w:rPr>
          <w:b/>
          <w:bCs/>
          <w:lang w:val="en-GB"/>
        </w:rPr>
        <w:t>3</w:t>
      </w:r>
      <w:r w:rsidRPr="00394A28">
        <w:rPr>
          <w:b/>
          <w:bCs/>
          <w:lang w:val="en-GB"/>
        </w:rPr>
        <w:t xml:space="preserve">: For DL HARQ processes with </w:t>
      </w:r>
      <w:r>
        <w:rPr>
          <w:b/>
          <w:bCs/>
          <w:lang w:val="en-GB"/>
        </w:rPr>
        <w:t xml:space="preserve">HARQ </w:t>
      </w:r>
      <w:r w:rsidRPr="00394A28">
        <w:rPr>
          <w:b/>
          <w:bCs/>
          <w:lang w:val="en-GB"/>
        </w:rPr>
        <w:t xml:space="preserve">feedback disabled, initial transmissions </w:t>
      </w:r>
      <w:r>
        <w:rPr>
          <w:b/>
          <w:bCs/>
          <w:lang w:val="en-GB"/>
        </w:rPr>
        <w:t xml:space="preserve">shall </w:t>
      </w:r>
      <w:r w:rsidRPr="00394A28">
        <w:rPr>
          <w:b/>
          <w:bCs/>
          <w:lang w:val="en-GB"/>
        </w:rPr>
        <w:t xml:space="preserve">use RV 0 and retransmissions </w:t>
      </w:r>
      <w:r>
        <w:rPr>
          <w:b/>
          <w:bCs/>
          <w:lang w:val="en-GB"/>
        </w:rPr>
        <w:t>shall not</w:t>
      </w:r>
      <w:r w:rsidRPr="00394A28">
        <w:rPr>
          <w:b/>
          <w:bCs/>
          <w:lang w:val="en-GB"/>
        </w:rPr>
        <w:t xml:space="preserve"> use RV 0.</w:t>
      </w:r>
    </w:p>
    <w:p w14:paraId="5F89566C" w14:textId="47626DC4" w:rsidR="003F0DD6" w:rsidRDefault="003F0DD6" w:rsidP="007D3CC3">
      <w:pPr>
        <w:rPr>
          <w:rFonts w:eastAsia="Calibri"/>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0AC87293" w:rsidR="00787372" w:rsidRDefault="00E318B6" w:rsidP="002F2817">
      <w:pPr>
        <w:rPr>
          <w:lang w:val="en-GB"/>
        </w:rPr>
      </w:pPr>
      <w:r>
        <w:rPr>
          <w:lang w:val="en-GB"/>
        </w:rPr>
        <w:t>In this contribution, we have discussed</w:t>
      </w:r>
      <w:r w:rsidR="005A1895">
        <w:rPr>
          <w:lang w:val="en-GB"/>
        </w:rPr>
        <w:t xml:space="preserve"> </w:t>
      </w:r>
      <w:r w:rsidR="00C02CCF">
        <w:rPr>
          <w:lang w:val="en-GB"/>
        </w:rPr>
        <w:t>remaining issues</w:t>
      </w:r>
      <w:r w:rsidR="009D6647">
        <w:rPr>
          <w:lang w:val="en-GB"/>
        </w:rPr>
        <w:t xml:space="preserve"> on HARQ</w:t>
      </w:r>
      <w:r w:rsidR="005A1895">
        <w:rPr>
          <w:lang w:val="en-GB"/>
        </w:rPr>
        <w:t xml:space="preserve"> </w:t>
      </w:r>
      <w:r w:rsidR="00787372">
        <w:rPr>
          <w:lang w:val="en-GB"/>
        </w:rPr>
        <w:t>with following proposals:</w:t>
      </w:r>
    </w:p>
    <w:p w14:paraId="1F5E7566" w14:textId="12080B40" w:rsidR="00612CF7" w:rsidRPr="0099795C" w:rsidRDefault="00612CF7" w:rsidP="00612CF7">
      <w:pPr>
        <w:rPr>
          <w:b/>
        </w:rPr>
      </w:pPr>
      <w:r w:rsidRPr="0099795C">
        <w:rPr>
          <w:b/>
        </w:rPr>
        <w:t xml:space="preserve">Proposal </w:t>
      </w:r>
      <w:r>
        <w:rPr>
          <w:b/>
        </w:rPr>
        <w:t>1</w:t>
      </w:r>
      <w:r w:rsidRPr="0099795C">
        <w:rPr>
          <w:b/>
        </w:rPr>
        <w:t xml:space="preserve">: </w:t>
      </w:r>
      <w:r w:rsidRPr="00EC1E89">
        <w:rPr>
          <w:b/>
        </w:rPr>
        <w:t>For Type-2 codebook generation,</w:t>
      </w:r>
      <w:r>
        <w:rPr>
          <w:b/>
        </w:rPr>
        <w:t xml:space="preserve"> UE </w:t>
      </w:r>
      <w:r w:rsidR="0004386C" w:rsidRPr="00412F12">
        <w:rPr>
          <w:b/>
          <w:i/>
          <w:iCs/>
        </w:rPr>
        <w:t>may</w:t>
      </w:r>
      <w:r w:rsidR="0004386C">
        <w:rPr>
          <w:b/>
        </w:rPr>
        <w:t xml:space="preserve"> </w:t>
      </w:r>
      <w:r>
        <w:rPr>
          <w:b/>
        </w:rPr>
        <w:t xml:space="preserve">assume that the C-DAI and T-DAI of the DCI of PDSCH with feedback-disabled process is the same as the C_DAI and T-DAI of the </w:t>
      </w:r>
      <w:r w:rsidR="00412F12">
        <w:rPr>
          <w:b/>
        </w:rPr>
        <w:t>m</w:t>
      </w:r>
      <w:r>
        <w:rPr>
          <w:b/>
        </w:rPr>
        <w:t xml:space="preserve">ost recently transmitted DCI of PDSCH with feedback-enabled process by </w:t>
      </w:r>
      <w:proofErr w:type="spellStart"/>
      <w:r>
        <w:rPr>
          <w:b/>
        </w:rPr>
        <w:t>gNB</w:t>
      </w:r>
      <w:proofErr w:type="spellEnd"/>
      <w:r>
        <w:rPr>
          <w:b/>
        </w:rPr>
        <w:t xml:space="preserve">. </w:t>
      </w:r>
      <w:r w:rsidRPr="00EC1E89">
        <w:rPr>
          <w:b/>
        </w:rPr>
        <w:t xml:space="preserve"> </w:t>
      </w:r>
    </w:p>
    <w:p w14:paraId="18486BB8" w14:textId="1055D1DD" w:rsidR="00521320" w:rsidRDefault="00521320">
      <w:pPr>
        <w:rPr>
          <w:b/>
          <w:bCs/>
          <w:lang w:val="en-GB"/>
        </w:rPr>
      </w:pPr>
    </w:p>
    <w:p w14:paraId="7F7EF622" w14:textId="133B11FB" w:rsidR="00C57272" w:rsidRPr="0021080D" w:rsidRDefault="00C57272" w:rsidP="00C57272">
      <w:pPr>
        <w:rPr>
          <w:b/>
          <w:bCs/>
          <w:lang w:val="en-GB"/>
        </w:rPr>
      </w:pPr>
      <w:r w:rsidRPr="0021080D">
        <w:rPr>
          <w:b/>
          <w:bCs/>
          <w:lang w:val="en-GB"/>
        </w:rPr>
        <w:t xml:space="preserve">Proposal </w:t>
      </w:r>
      <w:r w:rsidR="00612CF7">
        <w:rPr>
          <w:b/>
          <w:bCs/>
          <w:lang w:val="en-GB"/>
        </w:rPr>
        <w:t>2</w:t>
      </w:r>
      <w:r w:rsidRPr="0021080D">
        <w:rPr>
          <w:b/>
          <w:bCs/>
          <w:lang w:val="en-GB"/>
        </w:rPr>
        <w:t xml:space="preserve">: For Type-2 HARQ codebook, support spatial bundling of all feedback bits in a codebook </w:t>
      </w:r>
      <w:r>
        <w:rPr>
          <w:b/>
          <w:bCs/>
          <w:lang w:val="en-GB"/>
        </w:rPr>
        <w:t xml:space="preserve">if the number of feedback bits without bundling is less than or equal to </w:t>
      </w:r>
      <w:r w:rsidRPr="004663A2">
        <w:rPr>
          <w:b/>
          <w:bCs/>
          <w:i/>
          <w:iCs/>
          <w:lang w:val="en-GB"/>
        </w:rPr>
        <w:t>N</w:t>
      </w:r>
      <w:r w:rsidRPr="0021080D">
        <w:rPr>
          <w:b/>
          <w:bCs/>
          <w:lang w:val="en-GB"/>
        </w:rPr>
        <w:t xml:space="preserve">. </w:t>
      </w:r>
    </w:p>
    <w:p w14:paraId="6CBA5296" w14:textId="580D3347" w:rsidR="006C12C0" w:rsidRPr="00412F12" w:rsidRDefault="00C57272" w:rsidP="00412F12">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4760B266" w14:textId="77777777" w:rsidR="00112729" w:rsidRDefault="00112729">
      <w:pPr>
        <w:rPr>
          <w:b/>
          <w:bCs/>
          <w:lang w:val="en-GB"/>
        </w:rPr>
      </w:pPr>
    </w:p>
    <w:p w14:paraId="1C36AC18" w14:textId="4776044C" w:rsidR="00612CF7" w:rsidRDefault="00612CF7" w:rsidP="00612CF7">
      <w:pPr>
        <w:rPr>
          <w:b/>
          <w:bCs/>
          <w:lang w:val="en-GB"/>
        </w:rPr>
      </w:pPr>
      <w:r w:rsidRPr="00394A28">
        <w:rPr>
          <w:b/>
          <w:bCs/>
          <w:lang w:val="en-GB"/>
        </w:rPr>
        <w:t>Proposal</w:t>
      </w:r>
      <w:r>
        <w:rPr>
          <w:b/>
          <w:bCs/>
          <w:lang w:val="en-GB"/>
        </w:rPr>
        <w:t xml:space="preserve"> </w:t>
      </w:r>
      <w:r w:rsidR="00753140">
        <w:rPr>
          <w:b/>
          <w:bCs/>
          <w:lang w:val="en-GB"/>
        </w:rPr>
        <w:t>3</w:t>
      </w:r>
      <w:r w:rsidRPr="00394A28">
        <w:rPr>
          <w:b/>
          <w:bCs/>
          <w:lang w:val="en-GB"/>
        </w:rPr>
        <w:t xml:space="preserve">: For DL HARQ processes with </w:t>
      </w:r>
      <w:r>
        <w:rPr>
          <w:b/>
          <w:bCs/>
          <w:lang w:val="en-GB"/>
        </w:rPr>
        <w:t xml:space="preserve">HARQ </w:t>
      </w:r>
      <w:r w:rsidRPr="00394A28">
        <w:rPr>
          <w:b/>
          <w:bCs/>
          <w:lang w:val="en-GB"/>
        </w:rPr>
        <w:t xml:space="preserve">feedback disabled, initial transmissions </w:t>
      </w:r>
      <w:r>
        <w:rPr>
          <w:b/>
          <w:bCs/>
          <w:lang w:val="en-GB"/>
        </w:rPr>
        <w:t xml:space="preserve">shall </w:t>
      </w:r>
      <w:r w:rsidRPr="00394A28">
        <w:rPr>
          <w:b/>
          <w:bCs/>
          <w:lang w:val="en-GB"/>
        </w:rPr>
        <w:t xml:space="preserve">use RV 0 and retransmissions </w:t>
      </w:r>
      <w:r>
        <w:rPr>
          <w:b/>
          <w:bCs/>
          <w:lang w:val="en-GB"/>
        </w:rPr>
        <w:t>shall not</w:t>
      </w:r>
      <w:r w:rsidRPr="00394A28">
        <w:rPr>
          <w:b/>
          <w:bCs/>
          <w:lang w:val="en-GB"/>
        </w:rPr>
        <w:t xml:space="preserve"> use RV 0.</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2D27716B" w14:textId="4CC0B1A1" w:rsidR="00DA14DF" w:rsidRPr="00EB2A18" w:rsidRDefault="00DA14DF" w:rsidP="00DA14DF">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Chairman’s note, 3GPP RAN1 #10</w:t>
      </w:r>
      <w:r w:rsidR="002673E7">
        <w:rPr>
          <w:rFonts w:ascii="Times New Roman" w:hAnsi="Times New Roman"/>
          <w:sz w:val="20"/>
          <w:szCs w:val="20"/>
        </w:rPr>
        <w:t>6</w:t>
      </w:r>
      <w:r>
        <w:rPr>
          <w:rFonts w:ascii="Times New Roman" w:hAnsi="Times New Roman"/>
          <w:sz w:val="20"/>
          <w:szCs w:val="20"/>
        </w:rPr>
        <w:t xml:space="preserve">e. </w:t>
      </w:r>
    </w:p>
    <w:bookmarkEnd w:id="7"/>
    <w:bookmarkEnd w:id="4"/>
    <w:bookmarkEnd w:id="5"/>
    <w:bookmarkEnd w:id="6"/>
    <w:bookmarkEnd w:id="8"/>
    <w:p w14:paraId="45D5CA0F" w14:textId="5867340F" w:rsidR="00CE53DF" w:rsidRPr="008D47F9" w:rsidRDefault="00CE53DF" w:rsidP="00E87DCD">
      <w:pPr>
        <w:pStyle w:val="ListParagraph"/>
        <w:ind w:left="567"/>
        <w:rPr>
          <w:rFonts w:ascii="Times New Roman" w:hAnsi="Times New Roman"/>
          <w:sz w:val="20"/>
          <w:szCs w:val="20"/>
        </w:rPr>
      </w:pPr>
    </w:p>
    <w:sectPr w:rsidR="00CE53DF" w:rsidRPr="008D47F9"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3623" w14:textId="77777777" w:rsidR="00663CAF" w:rsidRDefault="00663CAF">
      <w:r>
        <w:separator/>
      </w:r>
    </w:p>
  </w:endnote>
  <w:endnote w:type="continuationSeparator" w:id="0">
    <w:p w14:paraId="291E385A" w14:textId="77777777" w:rsidR="00663CAF" w:rsidRDefault="00663CAF">
      <w:r>
        <w:continuationSeparator/>
      </w:r>
    </w:p>
  </w:endnote>
  <w:endnote w:type="continuationNotice" w:id="1">
    <w:p w14:paraId="38979CD6" w14:textId="77777777" w:rsidR="00663CAF" w:rsidRDefault="00663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326A" w14:textId="77777777" w:rsidR="00663CAF" w:rsidRDefault="00663CAF">
      <w:r>
        <w:separator/>
      </w:r>
    </w:p>
  </w:footnote>
  <w:footnote w:type="continuationSeparator" w:id="0">
    <w:p w14:paraId="62CC5ACA" w14:textId="77777777" w:rsidR="00663CAF" w:rsidRDefault="00663CAF">
      <w:r>
        <w:continuationSeparator/>
      </w:r>
    </w:p>
  </w:footnote>
  <w:footnote w:type="continuationNotice" w:id="1">
    <w:p w14:paraId="770A8BB4" w14:textId="77777777" w:rsidR="00663CAF" w:rsidRDefault="00663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2"/>
  </w:num>
  <w:num w:numId="4">
    <w:abstractNumId w:val="9"/>
  </w:num>
  <w:num w:numId="5">
    <w:abstractNumId w:val="6"/>
  </w:num>
  <w:num w:numId="6">
    <w:abstractNumId w:val="20"/>
  </w:num>
  <w:num w:numId="7">
    <w:abstractNumId w:val="31"/>
  </w:num>
  <w:num w:numId="8">
    <w:abstractNumId w:val="22"/>
  </w:num>
  <w:num w:numId="9">
    <w:abstractNumId w:val="17"/>
  </w:num>
  <w:num w:numId="10">
    <w:abstractNumId w:val="29"/>
  </w:num>
  <w:num w:numId="11">
    <w:abstractNumId w:val="12"/>
  </w:num>
  <w:num w:numId="12">
    <w:abstractNumId w:val="27"/>
  </w:num>
  <w:num w:numId="13">
    <w:abstractNumId w:val="19"/>
  </w:num>
  <w:num w:numId="14">
    <w:abstractNumId w:val="5"/>
  </w:num>
  <w:num w:numId="15">
    <w:abstractNumId w:val="10"/>
  </w:num>
  <w:num w:numId="16">
    <w:abstractNumId w:val="24"/>
  </w:num>
  <w:num w:numId="17">
    <w:abstractNumId w:val="3"/>
  </w:num>
  <w:num w:numId="18">
    <w:abstractNumId w:val="8"/>
  </w:num>
  <w:num w:numId="19">
    <w:abstractNumId w:val="28"/>
  </w:num>
  <w:num w:numId="20">
    <w:abstractNumId w:val="11"/>
  </w:num>
  <w:num w:numId="21">
    <w:abstractNumId w:val="23"/>
  </w:num>
  <w:num w:numId="22">
    <w:abstractNumId w:val="26"/>
  </w:num>
  <w:num w:numId="23">
    <w:abstractNumId w:val="14"/>
  </w:num>
  <w:num w:numId="24">
    <w:abstractNumId w:val="13"/>
  </w:num>
  <w:num w:numId="25">
    <w:abstractNumId w:val="16"/>
  </w:num>
  <w:num w:numId="26">
    <w:abstractNumId w:val="21"/>
  </w:num>
  <w:num w:numId="27">
    <w:abstractNumId w:val="1"/>
  </w:num>
  <w:num w:numId="28">
    <w:abstractNumId w:val="30"/>
  </w:num>
  <w:num w:numId="29">
    <w:abstractNumId w:val="15"/>
  </w:num>
  <w:num w:numId="30">
    <w:abstractNumId w:val="25"/>
  </w:num>
  <w:num w:numId="31">
    <w:abstractNumId w:val="18"/>
  </w:num>
  <w:num w:numId="32">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9"/>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946"/>
    <w:rsid w:val="00013A9F"/>
    <w:rsid w:val="00013B63"/>
    <w:rsid w:val="00013F64"/>
    <w:rsid w:val="000141F0"/>
    <w:rsid w:val="000144DE"/>
    <w:rsid w:val="00014E0E"/>
    <w:rsid w:val="00015BCB"/>
    <w:rsid w:val="00015CED"/>
    <w:rsid w:val="000160D3"/>
    <w:rsid w:val="000162A2"/>
    <w:rsid w:val="000162B2"/>
    <w:rsid w:val="0001645D"/>
    <w:rsid w:val="000164BB"/>
    <w:rsid w:val="0001667C"/>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46"/>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386C"/>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658"/>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3B9"/>
    <w:rsid w:val="00055873"/>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912"/>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D55"/>
    <w:rsid w:val="00106E7E"/>
    <w:rsid w:val="00106FF1"/>
    <w:rsid w:val="0010795D"/>
    <w:rsid w:val="00107BC1"/>
    <w:rsid w:val="0011034F"/>
    <w:rsid w:val="001103C6"/>
    <w:rsid w:val="00110851"/>
    <w:rsid w:val="001108EE"/>
    <w:rsid w:val="00110998"/>
    <w:rsid w:val="0011140D"/>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465"/>
    <w:rsid w:val="001416D5"/>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1F3D"/>
    <w:rsid w:val="0016223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A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0C"/>
    <w:rsid w:val="001B42CB"/>
    <w:rsid w:val="001B4371"/>
    <w:rsid w:val="001B48E7"/>
    <w:rsid w:val="001B4B78"/>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5949"/>
    <w:rsid w:val="001D630F"/>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E7EE9"/>
    <w:rsid w:val="001F0110"/>
    <w:rsid w:val="001F020C"/>
    <w:rsid w:val="001F0546"/>
    <w:rsid w:val="001F087F"/>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855"/>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DA6"/>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3F3"/>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476"/>
    <w:rsid w:val="00236F71"/>
    <w:rsid w:val="00237065"/>
    <w:rsid w:val="002373FC"/>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3E7"/>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4AF"/>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2B"/>
    <w:rsid w:val="002A5D82"/>
    <w:rsid w:val="002A5E3F"/>
    <w:rsid w:val="002A5E46"/>
    <w:rsid w:val="002A5FC1"/>
    <w:rsid w:val="002A6EF8"/>
    <w:rsid w:val="002A732C"/>
    <w:rsid w:val="002A73F1"/>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6B7"/>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9E"/>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F5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CB1"/>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2CC"/>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3DB3"/>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D19"/>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0F7"/>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45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0E75"/>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37"/>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23"/>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1DE"/>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0CCE"/>
    <w:rsid w:val="00411230"/>
    <w:rsid w:val="004116C3"/>
    <w:rsid w:val="004118C9"/>
    <w:rsid w:val="00411AD1"/>
    <w:rsid w:val="0041249C"/>
    <w:rsid w:val="00412605"/>
    <w:rsid w:val="00412697"/>
    <w:rsid w:val="00412F12"/>
    <w:rsid w:val="00413369"/>
    <w:rsid w:val="00413C23"/>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84A"/>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0FE9"/>
    <w:rsid w:val="0045129E"/>
    <w:rsid w:val="0045169D"/>
    <w:rsid w:val="004518D5"/>
    <w:rsid w:val="00451B06"/>
    <w:rsid w:val="00451BEB"/>
    <w:rsid w:val="004520FE"/>
    <w:rsid w:val="0045224A"/>
    <w:rsid w:val="004527C0"/>
    <w:rsid w:val="0045289B"/>
    <w:rsid w:val="004530FA"/>
    <w:rsid w:val="00453697"/>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82F"/>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5EA"/>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A88"/>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6821"/>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6CC"/>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159"/>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2EE"/>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3A"/>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341"/>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1CA"/>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D5"/>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2F"/>
    <w:rsid w:val="0056134D"/>
    <w:rsid w:val="00561421"/>
    <w:rsid w:val="0056175F"/>
    <w:rsid w:val="00561A95"/>
    <w:rsid w:val="00561BF6"/>
    <w:rsid w:val="0056200B"/>
    <w:rsid w:val="00562667"/>
    <w:rsid w:val="00562757"/>
    <w:rsid w:val="005627C0"/>
    <w:rsid w:val="00562915"/>
    <w:rsid w:val="00562CDC"/>
    <w:rsid w:val="00563379"/>
    <w:rsid w:val="005635B9"/>
    <w:rsid w:val="00563FD2"/>
    <w:rsid w:val="00564100"/>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D2C"/>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C70"/>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59"/>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3A9"/>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6C2"/>
    <w:rsid w:val="005C376D"/>
    <w:rsid w:val="005C3BBA"/>
    <w:rsid w:val="005C44BF"/>
    <w:rsid w:val="005C4758"/>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8DA"/>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156"/>
    <w:rsid w:val="005D434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1FC"/>
    <w:rsid w:val="005F1BB2"/>
    <w:rsid w:val="005F1FE4"/>
    <w:rsid w:val="005F2528"/>
    <w:rsid w:val="005F35D9"/>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313"/>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195"/>
    <w:rsid w:val="00610224"/>
    <w:rsid w:val="006102C6"/>
    <w:rsid w:val="006103F0"/>
    <w:rsid w:val="00610B78"/>
    <w:rsid w:val="006113A9"/>
    <w:rsid w:val="00611876"/>
    <w:rsid w:val="00611C82"/>
    <w:rsid w:val="006123BB"/>
    <w:rsid w:val="006125DB"/>
    <w:rsid w:val="0061269A"/>
    <w:rsid w:val="00612C73"/>
    <w:rsid w:val="00612CF7"/>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37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860"/>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CAF"/>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4824"/>
    <w:rsid w:val="006754D4"/>
    <w:rsid w:val="00675652"/>
    <w:rsid w:val="0067568E"/>
    <w:rsid w:val="006758E5"/>
    <w:rsid w:val="006759B1"/>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7D2"/>
    <w:rsid w:val="00681AF5"/>
    <w:rsid w:val="006820C0"/>
    <w:rsid w:val="0068226B"/>
    <w:rsid w:val="00682389"/>
    <w:rsid w:val="00682508"/>
    <w:rsid w:val="00682CC0"/>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2C0"/>
    <w:rsid w:val="006C1A29"/>
    <w:rsid w:val="006C1B3F"/>
    <w:rsid w:val="006C1F77"/>
    <w:rsid w:val="006C22BD"/>
    <w:rsid w:val="006C2604"/>
    <w:rsid w:val="006C299F"/>
    <w:rsid w:val="006C2B9B"/>
    <w:rsid w:val="006C30C3"/>
    <w:rsid w:val="006C3309"/>
    <w:rsid w:val="006C375B"/>
    <w:rsid w:val="006C383F"/>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CF3"/>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1E73"/>
    <w:rsid w:val="006F2051"/>
    <w:rsid w:val="006F20A5"/>
    <w:rsid w:val="006F20A6"/>
    <w:rsid w:val="006F291E"/>
    <w:rsid w:val="006F2FFF"/>
    <w:rsid w:val="006F3052"/>
    <w:rsid w:val="006F314D"/>
    <w:rsid w:val="006F377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140"/>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288"/>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6FDD"/>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3D0"/>
    <w:rsid w:val="0078440C"/>
    <w:rsid w:val="00784702"/>
    <w:rsid w:val="00784A47"/>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467"/>
    <w:rsid w:val="007B2638"/>
    <w:rsid w:val="007B2BB1"/>
    <w:rsid w:val="007B2FFB"/>
    <w:rsid w:val="007B3352"/>
    <w:rsid w:val="007B3476"/>
    <w:rsid w:val="007B448A"/>
    <w:rsid w:val="007B44DC"/>
    <w:rsid w:val="007B4543"/>
    <w:rsid w:val="007B4937"/>
    <w:rsid w:val="007B4D3D"/>
    <w:rsid w:val="007B54CA"/>
    <w:rsid w:val="007B550D"/>
    <w:rsid w:val="007B56CB"/>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8BE"/>
    <w:rsid w:val="007F0B77"/>
    <w:rsid w:val="007F0B82"/>
    <w:rsid w:val="007F0CDB"/>
    <w:rsid w:val="007F0DD3"/>
    <w:rsid w:val="007F1083"/>
    <w:rsid w:val="007F11BA"/>
    <w:rsid w:val="007F18C0"/>
    <w:rsid w:val="007F18DB"/>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3E52"/>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37EF2"/>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90A"/>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7F9"/>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6C51"/>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724"/>
    <w:rsid w:val="00963063"/>
    <w:rsid w:val="00963811"/>
    <w:rsid w:val="0096392B"/>
    <w:rsid w:val="0096397B"/>
    <w:rsid w:val="009640FD"/>
    <w:rsid w:val="00964E34"/>
    <w:rsid w:val="00964E3C"/>
    <w:rsid w:val="00964E69"/>
    <w:rsid w:val="00964F14"/>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675"/>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5C"/>
    <w:rsid w:val="009979D6"/>
    <w:rsid w:val="00997CA3"/>
    <w:rsid w:val="009A0212"/>
    <w:rsid w:val="009A031F"/>
    <w:rsid w:val="009A035A"/>
    <w:rsid w:val="009A043C"/>
    <w:rsid w:val="009A0C1F"/>
    <w:rsid w:val="009A12A5"/>
    <w:rsid w:val="009A18CF"/>
    <w:rsid w:val="009A1DFF"/>
    <w:rsid w:val="009A2144"/>
    <w:rsid w:val="009A246A"/>
    <w:rsid w:val="009A309E"/>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9F9"/>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BCD"/>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0C8"/>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C8A"/>
    <w:rsid w:val="00A61F65"/>
    <w:rsid w:val="00A621F3"/>
    <w:rsid w:val="00A623EB"/>
    <w:rsid w:val="00A623EF"/>
    <w:rsid w:val="00A62454"/>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171"/>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83F"/>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04A"/>
    <w:rsid w:val="00AB4157"/>
    <w:rsid w:val="00AB42FF"/>
    <w:rsid w:val="00AB4300"/>
    <w:rsid w:val="00AB4402"/>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09E"/>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CE"/>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201"/>
    <w:rsid w:val="00B25461"/>
    <w:rsid w:val="00B2547B"/>
    <w:rsid w:val="00B25585"/>
    <w:rsid w:val="00B2571D"/>
    <w:rsid w:val="00B2575A"/>
    <w:rsid w:val="00B25A0E"/>
    <w:rsid w:val="00B25A70"/>
    <w:rsid w:val="00B25BD8"/>
    <w:rsid w:val="00B25E1D"/>
    <w:rsid w:val="00B25F9A"/>
    <w:rsid w:val="00B2613A"/>
    <w:rsid w:val="00B263BE"/>
    <w:rsid w:val="00B269CE"/>
    <w:rsid w:val="00B26E38"/>
    <w:rsid w:val="00B2757B"/>
    <w:rsid w:val="00B27D54"/>
    <w:rsid w:val="00B30DF5"/>
    <w:rsid w:val="00B30EB7"/>
    <w:rsid w:val="00B317EB"/>
    <w:rsid w:val="00B31DDA"/>
    <w:rsid w:val="00B31E5F"/>
    <w:rsid w:val="00B31F75"/>
    <w:rsid w:val="00B321E0"/>
    <w:rsid w:val="00B322A7"/>
    <w:rsid w:val="00B32607"/>
    <w:rsid w:val="00B326BE"/>
    <w:rsid w:val="00B32D83"/>
    <w:rsid w:val="00B32EB5"/>
    <w:rsid w:val="00B32F7F"/>
    <w:rsid w:val="00B33126"/>
    <w:rsid w:val="00B33169"/>
    <w:rsid w:val="00B33452"/>
    <w:rsid w:val="00B338CE"/>
    <w:rsid w:val="00B3396B"/>
    <w:rsid w:val="00B33F7C"/>
    <w:rsid w:val="00B3426E"/>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7A1"/>
    <w:rsid w:val="00B42879"/>
    <w:rsid w:val="00B430D3"/>
    <w:rsid w:val="00B437BD"/>
    <w:rsid w:val="00B43985"/>
    <w:rsid w:val="00B439FA"/>
    <w:rsid w:val="00B43D4D"/>
    <w:rsid w:val="00B440CF"/>
    <w:rsid w:val="00B4418B"/>
    <w:rsid w:val="00B441EA"/>
    <w:rsid w:val="00B443C5"/>
    <w:rsid w:val="00B4485B"/>
    <w:rsid w:val="00B44889"/>
    <w:rsid w:val="00B453AD"/>
    <w:rsid w:val="00B45622"/>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6E4"/>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2DE"/>
    <w:rsid w:val="00B664EC"/>
    <w:rsid w:val="00B66801"/>
    <w:rsid w:val="00B668B4"/>
    <w:rsid w:val="00B66FFC"/>
    <w:rsid w:val="00B678CC"/>
    <w:rsid w:val="00B6796C"/>
    <w:rsid w:val="00B67B2B"/>
    <w:rsid w:val="00B7021B"/>
    <w:rsid w:val="00B70333"/>
    <w:rsid w:val="00B70A49"/>
    <w:rsid w:val="00B70EDB"/>
    <w:rsid w:val="00B71310"/>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059"/>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97982"/>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A7E"/>
    <w:rsid w:val="00BC4B9C"/>
    <w:rsid w:val="00BC5181"/>
    <w:rsid w:val="00BC56C1"/>
    <w:rsid w:val="00BC5CE2"/>
    <w:rsid w:val="00BC642E"/>
    <w:rsid w:val="00BC6742"/>
    <w:rsid w:val="00BC71C5"/>
    <w:rsid w:val="00BC7659"/>
    <w:rsid w:val="00BC7745"/>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4EF2"/>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CF"/>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449"/>
    <w:rsid w:val="00C14691"/>
    <w:rsid w:val="00C14C8D"/>
    <w:rsid w:val="00C14EF8"/>
    <w:rsid w:val="00C15135"/>
    <w:rsid w:val="00C159ED"/>
    <w:rsid w:val="00C16386"/>
    <w:rsid w:val="00C165C6"/>
    <w:rsid w:val="00C1662C"/>
    <w:rsid w:val="00C16813"/>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DC0"/>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2D2"/>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468"/>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4A1"/>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10F"/>
    <w:rsid w:val="00CB01BC"/>
    <w:rsid w:val="00CB03CF"/>
    <w:rsid w:val="00CB047F"/>
    <w:rsid w:val="00CB11BD"/>
    <w:rsid w:val="00CB1368"/>
    <w:rsid w:val="00CB167F"/>
    <w:rsid w:val="00CB1988"/>
    <w:rsid w:val="00CB1B34"/>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374"/>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222"/>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E7BCE"/>
    <w:rsid w:val="00CF0131"/>
    <w:rsid w:val="00CF02AC"/>
    <w:rsid w:val="00CF057C"/>
    <w:rsid w:val="00CF06E6"/>
    <w:rsid w:val="00CF09AC"/>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37"/>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0F47"/>
    <w:rsid w:val="00DB118D"/>
    <w:rsid w:val="00DB1539"/>
    <w:rsid w:val="00DB1F98"/>
    <w:rsid w:val="00DB2557"/>
    <w:rsid w:val="00DB27E1"/>
    <w:rsid w:val="00DB2CDC"/>
    <w:rsid w:val="00DB2CF9"/>
    <w:rsid w:val="00DB2D74"/>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15C"/>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1954"/>
    <w:rsid w:val="00DE20FB"/>
    <w:rsid w:val="00DE21CF"/>
    <w:rsid w:val="00DE265C"/>
    <w:rsid w:val="00DE2766"/>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CA"/>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396"/>
    <w:rsid w:val="00E25F1D"/>
    <w:rsid w:val="00E25F49"/>
    <w:rsid w:val="00E2603D"/>
    <w:rsid w:val="00E2617B"/>
    <w:rsid w:val="00E26224"/>
    <w:rsid w:val="00E2690E"/>
    <w:rsid w:val="00E272FE"/>
    <w:rsid w:val="00E274B2"/>
    <w:rsid w:val="00E27521"/>
    <w:rsid w:val="00E27CCA"/>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1C85"/>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DCD"/>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4F14"/>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2A18"/>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E89"/>
    <w:rsid w:val="00EC1FE9"/>
    <w:rsid w:val="00EC28CD"/>
    <w:rsid w:val="00EC2915"/>
    <w:rsid w:val="00EC2C50"/>
    <w:rsid w:val="00EC2E21"/>
    <w:rsid w:val="00EC2F01"/>
    <w:rsid w:val="00EC30FE"/>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1F1A"/>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6A16"/>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08"/>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2D3"/>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0F88"/>
    <w:rsid w:val="00F21048"/>
    <w:rsid w:val="00F210AB"/>
    <w:rsid w:val="00F2157F"/>
    <w:rsid w:val="00F21758"/>
    <w:rsid w:val="00F21857"/>
    <w:rsid w:val="00F218EF"/>
    <w:rsid w:val="00F21A66"/>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40F"/>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1C9"/>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C4"/>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BB6"/>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A87"/>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A"/>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0E2"/>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2022-02-14T18:19:00Z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